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</w:t>
      </w:r>
      <w:r w:rsidR="00CF7560">
        <w:rPr>
          <w:szCs w:val="24"/>
        </w:rPr>
        <w:t>20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CF7560">
        <w:rPr>
          <w:szCs w:val="24"/>
        </w:rPr>
        <w:t>2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B76223">
        <w:rPr>
          <w:szCs w:val="24"/>
        </w:rPr>
        <w:t>2</w:t>
      </w:r>
    </w:p>
    <w:p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tbl>
      <w:tblPr>
        <w:tblW w:w="792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236"/>
        <w:gridCol w:w="684"/>
      </w:tblGrid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line="276" w:lineRule="auto"/>
              <w:rPr>
                <w:sz w:val="20"/>
                <w:lang w:val="pl-PL"/>
              </w:rPr>
            </w:pPr>
            <w:r>
              <w:rPr>
                <w:sz w:val="20"/>
              </w:rPr>
              <w:t>BOZ, B. &amp; KIREMITCI, O…………………………………………………………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:rsidR="005F2037" w:rsidRDefault="005F2037">
            <w:pPr>
              <w:spacing w:line="276" w:lineRule="auto"/>
              <w:ind w:left="284"/>
              <w:rPr>
                <w:sz w:val="20"/>
              </w:rPr>
            </w:pPr>
            <w:r>
              <w:rPr>
                <w:sz w:val="20"/>
              </w:rPr>
              <w:t>Effect of maths-integrated Physical Education games on cognitive ability.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line="276" w:lineRule="auto"/>
              <w:ind w:left="425" w:hanging="425"/>
              <w:rPr>
                <w:sz w:val="20"/>
              </w:rPr>
            </w:pPr>
            <w:r>
              <w:rPr>
                <w:bCs/>
                <w:caps/>
                <w:sz w:val="20"/>
              </w:rPr>
              <w:t>BURNETT, C……………………………………………..</w:t>
            </w:r>
            <w:r>
              <w:rPr>
                <w:caps/>
                <w:sz w:val="20"/>
              </w:rPr>
              <w:t>..</w:t>
            </w:r>
            <w:r>
              <w:rPr>
                <w:sz w:val="20"/>
              </w:rPr>
              <w:t>…………………………...</w:t>
            </w:r>
          </w:p>
          <w:p w:rsidR="005F2037" w:rsidRDefault="005F2037">
            <w:pPr>
              <w:spacing w:line="276" w:lineRule="auto"/>
              <w:ind w:left="284"/>
              <w:rPr>
                <w:bCs/>
                <w:sz w:val="20"/>
              </w:rPr>
            </w:pPr>
            <w:r>
              <w:rPr>
                <w:rFonts w:eastAsia="Calibri"/>
                <w:sz w:val="20"/>
                <w:lang w:eastAsia="en-ZA"/>
              </w:rPr>
              <w:t>Addressing challenges of PE in South African public schools</w:t>
            </w:r>
            <w:r>
              <w:rPr>
                <w:sz w:val="20"/>
              </w:rPr>
              <w:t>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15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line="276" w:lineRule="auto"/>
              <w:rPr>
                <w:bCs/>
                <w:iCs/>
                <w:sz w:val="20"/>
                <w:lang w:eastAsia="en-ZA"/>
              </w:rPr>
            </w:pPr>
            <w:r>
              <w:rPr>
                <w:rFonts w:eastAsia="Calibri"/>
                <w:sz w:val="20"/>
                <w:lang w:eastAsia="en-ZA"/>
              </w:rPr>
              <w:t>GAU, L-S., KIM, J-C., DUONG, P.T., HONG, N.B. &amp; LIN, C-N………………...</w:t>
            </w:r>
            <w:r>
              <w:rPr>
                <w:rFonts w:eastAsia="Calibri"/>
                <w:bCs/>
                <w:iCs/>
                <w:sz w:val="20"/>
              </w:rPr>
              <w:t>......</w:t>
            </w:r>
          </w:p>
          <w:p w:rsidR="005F2037" w:rsidRDefault="005F2037">
            <w:pPr>
              <w:spacing w:line="276" w:lineRule="auto"/>
              <w:ind w:left="284"/>
              <w:rPr>
                <w:bCs/>
                <w:sz w:val="20"/>
              </w:rPr>
            </w:pPr>
            <w:r>
              <w:rPr>
                <w:rFonts w:eastAsia="Calibri"/>
                <w:sz w:val="20"/>
                <w:lang w:eastAsia="en-ZA"/>
              </w:rPr>
              <w:t>Precursors of sport provision diversity attitudes at colleges in Taiwan, United States and Vietnam</w:t>
            </w:r>
            <w:r>
              <w:rPr>
                <w:bCs/>
                <w:iCs/>
                <w:sz w:val="20"/>
              </w:rPr>
              <w:t>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before="60" w:line="276" w:lineRule="auto"/>
              <w:ind w:right="-57"/>
              <w:rPr>
                <w:rFonts w:eastAsia="Calibri"/>
                <w:sz w:val="20"/>
              </w:rPr>
            </w:pPr>
            <w:r>
              <w:rPr>
                <w:sz w:val="20"/>
                <w:lang w:eastAsia="zh-CN"/>
              </w:rPr>
              <w:t>KHANJARI, Y., ARABAMERI, E., SHAHBAZI, M., BOROUJENI, S.T. &amp; BAHRAMI, F.</w:t>
            </w:r>
            <w:r>
              <w:rPr>
                <w:sz w:val="20"/>
                <w:lang w:eastAsia="en-ZA"/>
              </w:rPr>
              <w:t>…………….</w:t>
            </w:r>
            <w:r>
              <w:rPr>
                <w:rFonts w:eastAsia="Calibri"/>
                <w:sz w:val="20"/>
              </w:rPr>
              <w:t>………………………………….…</w:t>
            </w:r>
            <w:proofErr w:type="gramStart"/>
            <w:r>
              <w:rPr>
                <w:rFonts w:eastAsia="Calibri"/>
                <w:sz w:val="20"/>
              </w:rPr>
              <w:t>…..</w:t>
            </w:r>
            <w:proofErr w:type="gramEnd"/>
            <w:r>
              <w:rPr>
                <w:sz w:val="20"/>
              </w:rPr>
              <w:t>……..…………….</w:t>
            </w:r>
          </w:p>
          <w:p w:rsidR="005F2037" w:rsidRDefault="005F2037">
            <w:pPr>
              <w:tabs>
                <w:tab w:val="left" w:pos="6480"/>
              </w:tabs>
              <w:spacing w:line="276" w:lineRule="auto"/>
              <w:ind w:left="284"/>
              <w:rPr>
                <w:sz w:val="20"/>
              </w:rPr>
            </w:pPr>
            <w:r>
              <w:rPr>
                <w:bCs/>
                <w:sz w:val="20"/>
                <w:lang w:eastAsia="en-ZA"/>
              </w:rPr>
              <w:t>Synergy patterns of brain activity during learning of the dart throwing skill with dominant and non-dominant hand</w:t>
            </w:r>
            <w:r>
              <w:rPr>
                <w:sz w:val="20"/>
                <w:lang w:eastAsia="en-ZA"/>
              </w:rPr>
              <w:t xml:space="preserve">. 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line="276" w:lineRule="auto"/>
              <w:rPr>
                <w:sz w:val="20"/>
              </w:rPr>
            </w:pPr>
            <w:r>
              <w:rPr>
                <w:rFonts w:eastAsia="Calibri"/>
                <w:sz w:val="20"/>
                <w:lang w:eastAsia="en-ZA"/>
              </w:rPr>
              <w:t>KIM, M-J., &amp; CHO, S-S…………</w:t>
            </w:r>
            <w:proofErr w:type="gramStart"/>
            <w:r>
              <w:rPr>
                <w:rFonts w:eastAsia="Calibri"/>
                <w:sz w:val="20"/>
                <w:lang w:eastAsia="en-ZA"/>
              </w:rPr>
              <w:t>…..</w:t>
            </w:r>
            <w:proofErr w:type="gramEnd"/>
            <w:r>
              <w:rPr>
                <w:sz w:val="20"/>
                <w:lang w:val="en-ZA"/>
              </w:rPr>
              <w:t>…………………</w:t>
            </w:r>
            <w:r>
              <w:rPr>
                <w:sz w:val="20"/>
                <w:lang w:val="pl-PL"/>
              </w:rPr>
              <w:t>………..............……….....…..</w:t>
            </w:r>
          </w:p>
          <w:p w:rsidR="005F2037" w:rsidRDefault="005F2037">
            <w:pPr>
              <w:tabs>
                <w:tab w:val="left" w:pos="284"/>
              </w:tabs>
              <w:spacing w:line="276" w:lineRule="auto"/>
              <w:ind w:left="284"/>
              <w:rPr>
                <w:bCs/>
                <w:sz w:val="20"/>
                <w:lang w:val="en-ZA"/>
              </w:rPr>
            </w:pPr>
            <w:r>
              <w:rPr>
                <w:rFonts w:eastAsia="SimSun"/>
                <w:sz w:val="20"/>
                <w:lang w:eastAsia="zh-CN"/>
              </w:rPr>
              <w:t>Statistical preparation in master’s programme of sport management.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spacing w:line="276" w:lineRule="auto"/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spacing w:before="6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KOTZE, F.P. &amp; FERREIRA, E.J……………………………………………………….</w:t>
            </w:r>
          </w:p>
          <w:p w:rsidR="005F2037" w:rsidRDefault="005F2037">
            <w:pPr>
              <w:spacing w:line="276" w:lineRule="auto"/>
              <w:ind w:left="284"/>
              <w:rPr>
                <w:rFonts w:eastAsia="Calibri"/>
                <w:sz w:val="20"/>
                <w:lang w:eastAsia="en-ZA"/>
              </w:rPr>
            </w:pPr>
            <w:r>
              <w:rPr>
                <w:sz w:val="20"/>
                <w:lang w:eastAsia="en-GB"/>
              </w:rPr>
              <w:t>Financial sustainability and profitability of high-performance training centres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spacing w:line="276" w:lineRule="auto"/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tabs>
                <w:tab w:val="left" w:pos="0"/>
              </w:tabs>
              <w:spacing w:line="276" w:lineRule="auto"/>
              <w:rPr>
                <w:sz w:val="20"/>
                <w:vertAlign w:val="superscript"/>
                <w:lang w:val="es-ES"/>
              </w:rPr>
            </w:pPr>
            <w:r>
              <w:rPr>
                <w:rFonts w:eastAsia="Calibri"/>
                <w:bCs/>
                <w:sz w:val="20"/>
                <w:lang w:val="es-ES" w:eastAsia="en-ZA"/>
              </w:rPr>
              <w:t>NKOPO, M., VAN GENT, M.M., VAN NIEKERK, R.L. &amp; NOORBHAI, M.H……...</w:t>
            </w:r>
          </w:p>
          <w:p w:rsidR="005F2037" w:rsidRDefault="005F2037">
            <w:pPr>
              <w:spacing w:line="276" w:lineRule="auto"/>
              <w:ind w:left="284"/>
              <w:rPr>
                <w:bCs/>
                <w:sz w:val="20"/>
                <w:lang w:val="en-ZA"/>
              </w:rPr>
            </w:pPr>
            <w:bookmarkStart w:id="0" w:name="_Toc477888118"/>
            <w:r>
              <w:rPr>
                <w:rFonts w:eastAsia="Calibri"/>
                <w:bCs/>
                <w:sz w:val="20"/>
                <w:lang w:eastAsia="en-ZA"/>
              </w:rPr>
              <w:t>Relationship between selected body composition components and self-efficacy among 12 - 14-year-old rural adolescents in the Eastern Cape Province of South Africa</w:t>
            </w:r>
            <w:bookmarkEnd w:id="0"/>
            <w:r>
              <w:rPr>
                <w:sz w:val="20"/>
              </w:rPr>
              <w:t>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tabs>
                <w:tab w:val="left" w:pos="426"/>
              </w:tabs>
              <w:spacing w:line="276" w:lineRule="auto"/>
              <w:ind w:left="426" w:hanging="426"/>
              <w:rPr>
                <w:sz w:val="20"/>
                <w:lang w:val="en-ZA"/>
              </w:rPr>
            </w:pPr>
            <w:r>
              <w:rPr>
                <w:rFonts w:eastAsia="Calibri"/>
                <w:sz w:val="20"/>
                <w:lang w:eastAsia="en-ZA"/>
              </w:rPr>
              <w:t>SHIEH, L-C., SEE, L-C., CHANG, S-T., WU, T-C., LEE, J-S., HO, W-H., LIM, A.Y., CHEN, W-M. &amp; LIU, Y-H………………</w:t>
            </w:r>
            <w:proofErr w:type="gramStart"/>
            <w:r>
              <w:rPr>
                <w:rFonts w:eastAsia="Calibri"/>
                <w:sz w:val="20"/>
                <w:lang w:eastAsia="en-ZA"/>
              </w:rPr>
              <w:t>…..</w:t>
            </w:r>
            <w:proofErr w:type="gramEnd"/>
            <w:r>
              <w:rPr>
                <w:rFonts w:eastAsia="Calibri"/>
                <w:bCs/>
                <w:sz w:val="20"/>
                <w:lang w:val="en-ZA" w:eastAsia="en-ZA"/>
              </w:rPr>
              <w:t>…….………………………</w:t>
            </w:r>
            <w:r>
              <w:rPr>
                <w:sz w:val="20"/>
                <w:lang w:val="en-ZA"/>
              </w:rPr>
              <w:t>..</w:t>
            </w:r>
          </w:p>
          <w:p w:rsidR="005F2037" w:rsidRDefault="005F2037">
            <w:pPr>
              <w:tabs>
                <w:tab w:val="left" w:pos="284"/>
              </w:tabs>
              <w:spacing w:line="276" w:lineRule="auto"/>
              <w:ind w:left="284"/>
              <w:rPr>
                <w:sz w:val="20"/>
                <w:lang w:val="en-ZA"/>
              </w:rPr>
            </w:pPr>
            <w:r>
              <w:rPr>
                <w:sz w:val="20"/>
                <w:shd w:val="clear" w:color="auto" w:fill="FFFFFF"/>
                <w:lang w:eastAsia="en-ZA"/>
              </w:rPr>
              <w:t>Table tennis practise reduces gender gap in eye-hand response time: A cross-sectional study.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tabs>
                <w:tab w:val="left" w:pos="426"/>
              </w:tabs>
              <w:spacing w:line="276" w:lineRule="auto"/>
              <w:ind w:left="426" w:hanging="426"/>
              <w:rPr>
                <w:sz w:val="20"/>
                <w:lang w:val="es-ES"/>
              </w:rPr>
            </w:pPr>
            <w:r>
              <w:rPr>
                <w:rFonts w:eastAsia="Calibri"/>
                <w:color w:val="000000"/>
                <w:sz w:val="20"/>
                <w:lang w:val="es-ES" w:eastAsia="en-ZA"/>
              </w:rPr>
              <w:t>TAPIA-SERRANO, T.A., LEÓN-GUEREÑO, P., SÁNCHEZ-MIGUEL, P.A……….</w:t>
            </w:r>
          </w:p>
          <w:p w:rsidR="005F2037" w:rsidRDefault="005F2037">
            <w:pPr>
              <w:tabs>
                <w:tab w:val="left" w:pos="284"/>
              </w:tabs>
              <w:spacing w:line="276" w:lineRule="auto"/>
              <w:ind w:left="284"/>
              <w:rPr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  <w:lang w:eastAsia="en-ZA"/>
              </w:rPr>
              <w:t>Relationship</w:t>
            </w:r>
            <w:r>
              <w:rPr>
                <w:rFonts w:eastAsia="Calibri"/>
                <w:bCs/>
                <w:color w:val="000000"/>
                <w:sz w:val="20"/>
                <w:lang w:eastAsia="en-ZA"/>
              </w:rPr>
              <w:t>s</w:t>
            </w:r>
            <w:r>
              <w:rPr>
                <w:rFonts w:eastAsia="Calibri"/>
                <w:bCs/>
                <w:color w:val="000000"/>
                <w:sz w:val="20"/>
                <w:lang w:eastAsia="en-ZA"/>
              </w:rPr>
              <w:t xml:space="preserve"> between motivational mechanisms, expected sports performance and perceived health status in long-distance runners: A mediation model</w:t>
            </w:r>
            <w:r>
              <w:rPr>
                <w:sz w:val="20"/>
              </w:rPr>
              <w:t>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pStyle w:val="BodyText3"/>
              <w:tabs>
                <w:tab w:val="left" w:pos="284"/>
              </w:tabs>
              <w:spacing w:line="276" w:lineRule="auto"/>
              <w:ind w:right="-3"/>
              <w:jc w:val="left"/>
              <w:rPr>
                <w:bCs/>
                <w:lang w:val="en-ZA"/>
              </w:rPr>
            </w:pPr>
            <w:r>
              <w:rPr>
                <w:rFonts w:eastAsia="Calibri"/>
                <w:lang w:val="en-ZA" w:eastAsia="en-ZA"/>
              </w:rPr>
              <w:t>VAN DEN BERG, L., COETZEE, B. &amp; MEARNS, M…………………</w:t>
            </w:r>
            <w:proofErr w:type="gramStart"/>
            <w:r>
              <w:rPr>
                <w:rFonts w:eastAsia="Calibri"/>
                <w:lang w:val="en-ZA" w:eastAsia="en-ZA"/>
              </w:rPr>
              <w:t>…..</w:t>
            </w:r>
            <w:proofErr w:type="gramEnd"/>
            <w:r>
              <w:rPr>
                <w:bCs/>
                <w:lang w:val="en-ZA"/>
              </w:rPr>
              <w:t>………….</w:t>
            </w:r>
          </w:p>
          <w:p w:rsidR="005F2037" w:rsidRDefault="005F2037">
            <w:pPr>
              <w:pStyle w:val="BodyText3"/>
              <w:tabs>
                <w:tab w:val="left" w:pos="284"/>
              </w:tabs>
              <w:spacing w:line="276" w:lineRule="auto"/>
              <w:ind w:left="284" w:right="249"/>
              <w:jc w:val="left"/>
            </w:pPr>
            <w:r>
              <w:rPr>
                <w:lang w:val="en-GB"/>
              </w:rPr>
              <w:t>Mixed methods approach to develop a competitive intelligence survey for South African cricket coaches</w:t>
            </w:r>
            <w:r>
              <w:t>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</w:tr>
      <w:tr w:rsidR="005F2037" w:rsidTr="005F2037">
        <w:tc>
          <w:tcPr>
            <w:tcW w:w="7232" w:type="dxa"/>
            <w:hideMark/>
          </w:tcPr>
          <w:p w:rsidR="005F2037" w:rsidRDefault="005F2037">
            <w:pPr>
              <w:tabs>
                <w:tab w:val="left" w:pos="360"/>
                <w:tab w:val="left" w:pos="426"/>
                <w:tab w:val="left" w:pos="648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INFORMATION FOR AUTHORS</w:t>
            </w:r>
            <w:r>
              <w:rPr>
                <w:sz w:val="20"/>
              </w:rPr>
              <w:t>…</w:t>
            </w:r>
            <w:r>
              <w:rPr>
                <w:bCs/>
                <w:sz w:val="20"/>
              </w:rPr>
              <w:t>…………….……..…….….……..…………...</w:t>
            </w:r>
          </w:p>
        </w:tc>
        <w:tc>
          <w:tcPr>
            <w:tcW w:w="684" w:type="dxa"/>
            <w:hideMark/>
          </w:tcPr>
          <w:p w:rsidR="005F2037" w:rsidRDefault="005F2037">
            <w:pPr>
              <w:tabs>
                <w:tab w:val="right" w:pos="27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</w:tr>
    </w:tbl>
    <w:p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jO2tDQztjAyMrFU0lEKTi0uzszPAykwrwUA8orbkiwAAAA=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A4E47"/>
    <w:rsid w:val="005A6079"/>
    <w:rsid w:val="005B4B95"/>
    <w:rsid w:val="005C0EFD"/>
    <w:rsid w:val="005D6061"/>
    <w:rsid w:val="005F0020"/>
    <w:rsid w:val="005F2037"/>
    <w:rsid w:val="005F2D41"/>
    <w:rsid w:val="005F5132"/>
    <w:rsid w:val="00625D00"/>
    <w:rsid w:val="006350CF"/>
    <w:rsid w:val="00651DFE"/>
    <w:rsid w:val="0065481A"/>
    <w:rsid w:val="006906A5"/>
    <w:rsid w:val="00693264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9E00F3"/>
    <w:rsid w:val="00A05ACA"/>
    <w:rsid w:val="00A3484E"/>
    <w:rsid w:val="00A46FD1"/>
    <w:rsid w:val="00A5157A"/>
    <w:rsid w:val="00A623C3"/>
    <w:rsid w:val="00A66D5B"/>
    <w:rsid w:val="00A71C37"/>
    <w:rsid w:val="00A76105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76223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D64F6"/>
    <w:rsid w:val="00CE3DB0"/>
    <w:rsid w:val="00CF7560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26052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FC16-3624-48AE-8F52-3B656FDE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10210407</cp:lastModifiedBy>
  <cp:revision>3</cp:revision>
  <cp:lastPrinted>2020-09-13T17:53:00Z</cp:lastPrinted>
  <dcterms:created xsi:type="dcterms:W3CDTF">2020-09-05T16:37:00Z</dcterms:created>
  <dcterms:modified xsi:type="dcterms:W3CDTF">2020-09-13T17:53:00Z</dcterms:modified>
</cp:coreProperties>
</file>